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0"/>
          <w:szCs w:val="30"/>
        </w:rPr>
      </w:pPr>
      <w:r w:rsidDel="00000000" w:rsidR="00000000" w:rsidRPr="00000000">
        <w:rPr>
          <w:b w:val="1"/>
          <w:bCs w:val="1"/>
          <w:sz w:val="30"/>
          <w:szCs w:val="30"/>
          <w:rtl w:val="0"/>
        </w:rPr>
        <w:t xml:space="preserve">Fort Lupton Intersection README</w:t>
      </w:r>
    </w:p>
    <w:p w:rsidR="00000000" w:rsidDel="00000000" w:rsidP="00000000" w:rsidRDefault="00000000" w:rsidRPr="00000000" w14:paraId="00000002">
      <w:pPr>
        <w:jc w:val="center"/>
        <w:rPr>
          <w:b w:val="1"/>
          <w:bCs w:val="1"/>
          <w:sz w:val="30"/>
          <w:szCs w:val="30"/>
        </w:rPr>
      </w:pPr>
      <w:r w:rsidDel="00000000" w:rsidR="00000000" w:rsidRPr="00000000">
        <w:rPr>
          <w:rtl w:val="0"/>
        </w:rPr>
      </w:r>
    </w:p>
    <w:p w:rsidR="00000000" w:rsidDel="00000000" w:rsidP="00000000" w:rsidRDefault="00000000" w:rsidRPr="00000000" w14:paraId="00000003">
      <w:pPr>
        <w:rPr>
          <w:sz w:val="26"/>
          <w:szCs w:val="26"/>
        </w:rPr>
      </w:pPr>
      <w:r w:rsidDel="00000000" w:rsidR="00000000" w:rsidRPr="00000000">
        <w:rPr>
          <w:b w:val="1"/>
          <w:bCs w:val="1"/>
          <w:sz w:val="26"/>
          <w:szCs w:val="26"/>
          <w:rtl w:val="0"/>
        </w:rPr>
        <w:t xml:space="preserve">Overview</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Fort Lupton Intersection deployment is led by the Air Toxics and Ozone Precursors Program (ATOPs) within the Air Pollution Control Division (APCD) of the Colorado Department of Public Health and Environment (CDPHE). The deployment was initiated to respond to emissions of benzene and methane from a broken orange pipeline along County Road 20 in Fort Lupton. This README file explains the instruments used, compounds detected, units of measurement, and specifications relevant for data interpretation.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bCs w:val="1"/>
          <w:sz w:val="26"/>
          <w:szCs w:val="26"/>
        </w:rPr>
      </w:pPr>
      <w:r w:rsidDel="00000000" w:rsidR="00000000" w:rsidRPr="00000000">
        <w:rPr>
          <w:b w:val="1"/>
          <w:bCs w:val="1"/>
          <w:sz w:val="26"/>
          <w:szCs w:val="26"/>
          <w:rtl w:val="0"/>
        </w:rPr>
        <w:t xml:space="preserve">Measurement Specifications</w:t>
      </w:r>
    </w:p>
    <w:p w:rsidR="00000000" w:rsidDel="00000000" w:rsidP="00000000" w:rsidRDefault="00000000" w:rsidRPr="00000000" w14:paraId="00000007">
      <w:pPr>
        <w:rPr/>
      </w:pPr>
      <w:r w:rsidDel="00000000" w:rsidR="00000000" w:rsidRPr="00000000">
        <w:rPr>
          <w:rtl w:val="0"/>
        </w:rPr>
        <w:t xml:space="preserve">    </w:t>
      </w:r>
    </w:p>
    <w:p w:rsidR="00000000" w:rsidDel="00000000" w:rsidP="00000000" w:rsidRDefault="00000000" w:rsidRPr="00000000" w14:paraId="00000008">
      <w:pPr>
        <w:rPr>
          <w:b w:val="1"/>
          <w:bCs w:val="1"/>
        </w:rPr>
      </w:pPr>
      <w:r w:rsidDel="00000000" w:rsidR="00000000" w:rsidRPr="00000000">
        <w:rPr>
          <w:b w:val="1"/>
          <w:bCs w:val="1"/>
          <w:rtl w:val="0"/>
        </w:rPr>
        <w:t xml:space="preserve">Total alkanes, methane (CH</w:t>
      </w:r>
      <w:r w:rsidDel="00000000" w:rsidR="00000000" w:rsidRPr="00000000">
        <w:rPr>
          <w:b w:val="1"/>
          <w:bCs w:val="1"/>
          <w:vertAlign w:val="subscript"/>
          <w:rtl w:val="0"/>
        </w:rPr>
        <w:t xml:space="preserve">4</w:t>
      </w:r>
      <w:r w:rsidDel="00000000" w:rsidR="00000000" w:rsidRPr="00000000">
        <w:rPr>
          <w:b w:val="1"/>
          <w:bCs w:val="1"/>
          <w:rtl w:val="0"/>
        </w:rPr>
        <w:t xml:space="preserve">)</w:t>
      </w:r>
    </w:p>
    <w:p w:rsidR="00000000" w:rsidDel="00000000" w:rsidP="00000000" w:rsidRDefault="00000000" w:rsidRPr="00000000" w14:paraId="00000009">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85"/>
        <w:gridCol w:w="5775"/>
        <w:tblGridChange w:id="0">
          <w:tblGrid>
            <w:gridCol w:w="3585"/>
            <w:gridCol w:w="577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A">
            <w:pPr>
              <w:widowControl w:val="0"/>
              <w:spacing w:line="240" w:lineRule="auto"/>
              <w:rPr>
                <w:b w:val="1"/>
                <w:bCs w:val="1"/>
              </w:rPr>
            </w:pPr>
            <w:r w:rsidDel="00000000" w:rsidR="00000000" w:rsidRPr="00000000">
              <w:rPr>
                <w:b w:val="1"/>
                <w:bCs w:val="1"/>
                <w:rtl w:val="0"/>
              </w:rPr>
              <w:t xml:space="preserve">Instrument Manufacturer</w:t>
            </w:r>
          </w:p>
        </w:tc>
        <w:tc>
          <w:tcPr>
            <w:tcMar>
              <w:top w:w="100.0" w:type="dxa"/>
              <w:left w:w="100.0" w:type="dxa"/>
              <w:bottom w:w="100.0" w:type="dxa"/>
              <w:right w:w="100.0" w:type="dxa"/>
            </w:tcMar>
          </w:tcPr>
          <w:p w:rsidR="00000000" w:rsidDel="00000000" w:rsidP="00000000" w:rsidRDefault="00000000" w:rsidRPr="00000000" w14:paraId="0000000B">
            <w:pPr>
              <w:widowControl w:val="0"/>
              <w:spacing w:line="240" w:lineRule="auto"/>
              <w:rPr/>
            </w:pPr>
            <w:r w:rsidDel="00000000" w:rsidR="00000000" w:rsidRPr="00000000">
              <w:rPr>
                <w:rtl w:val="0"/>
              </w:rPr>
              <w:t xml:space="preserve">FluxSense</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C">
            <w:pPr>
              <w:widowControl w:val="0"/>
              <w:spacing w:line="240" w:lineRule="auto"/>
              <w:rPr>
                <w:b w:val="1"/>
                <w:bCs w:val="1"/>
              </w:rPr>
            </w:pPr>
            <w:r w:rsidDel="00000000" w:rsidR="00000000" w:rsidRPr="00000000">
              <w:rPr>
                <w:b w:val="1"/>
                <w:bCs w:val="1"/>
                <w:rtl w:val="0"/>
              </w:rPr>
              <w:t xml:space="preserve">Instrument Model</w:t>
            </w:r>
          </w:p>
        </w:tc>
        <w:tc>
          <w:tcPr>
            <w:tcMar>
              <w:top w:w="100.0" w:type="dxa"/>
              <w:left w:w="100.0" w:type="dxa"/>
              <w:bottom w:w="100.0" w:type="dxa"/>
              <w:right w:w="100.0" w:type="dxa"/>
            </w:tcMar>
          </w:tcPr>
          <w:p w:rsidR="00000000" w:rsidDel="00000000" w:rsidP="00000000" w:rsidRDefault="00000000" w:rsidRPr="00000000" w14:paraId="0000000D">
            <w:pPr>
              <w:widowControl w:val="0"/>
              <w:spacing w:line="240" w:lineRule="auto"/>
              <w:rPr/>
            </w:pPr>
            <w:r w:rsidDel="00000000" w:rsidR="00000000" w:rsidRPr="00000000">
              <w:rPr>
                <w:rtl w:val="0"/>
              </w:rPr>
              <w:t xml:space="preserve">MeFTIR V6</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E">
            <w:pPr>
              <w:widowControl w:val="0"/>
              <w:spacing w:line="240" w:lineRule="auto"/>
              <w:rPr>
                <w:b w:val="1"/>
                <w:bCs w:val="1"/>
              </w:rPr>
            </w:pPr>
            <w:r w:rsidDel="00000000" w:rsidR="00000000" w:rsidRPr="00000000">
              <w:rPr>
                <w:b w:val="1"/>
                <w:bCs w:val="1"/>
                <w:rtl w:val="0"/>
              </w:rPr>
              <w:t xml:space="preserve">Compounds Detected</w:t>
            </w:r>
          </w:p>
        </w:tc>
        <w:tc>
          <w:tcPr>
            <w:tcMar>
              <w:top w:w="100.0" w:type="dxa"/>
              <w:left w:w="100.0" w:type="dxa"/>
              <w:bottom w:w="100.0" w:type="dxa"/>
              <w:right w:w="100.0" w:type="dxa"/>
            </w:tcMar>
          </w:tcPr>
          <w:p w:rsidR="00000000" w:rsidDel="00000000" w:rsidP="00000000" w:rsidRDefault="00000000" w:rsidRPr="00000000" w14:paraId="0000000F">
            <w:pPr>
              <w:widowControl w:val="0"/>
              <w:spacing w:line="240" w:lineRule="auto"/>
              <w:rPr/>
            </w:pPr>
            <w:r w:rsidDel="00000000" w:rsidR="00000000" w:rsidRPr="00000000">
              <w:rPr>
                <w:rtl w:val="0"/>
              </w:rPr>
              <w:t xml:space="preserve">Total alkanes, Methane (CH</w:t>
            </w:r>
            <w:r w:rsidDel="00000000" w:rsidR="00000000" w:rsidRPr="00000000">
              <w:rPr>
                <w:vertAlign w:val="subscript"/>
                <w:rtl w:val="0"/>
              </w:rPr>
              <w:t xml:space="preserve">4</w:t>
            </w:r>
            <w:r w:rsidDel="00000000" w:rsidR="00000000" w:rsidRPr="00000000">
              <w:rPr>
                <w:rtl w:val="0"/>
              </w:rPr>
              <w:t xml:space="preserv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0">
            <w:pPr>
              <w:widowControl w:val="0"/>
              <w:spacing w:line="240" w:lineRule="auto"/>
              <w:rPr>
                <w:b w:val="1"/>
                <w:bCs w:val="1"/>
              </w:rPr>
            </w:pPr>
            <w:r w:rsidDel="00000000" w:rsidR="00000000" w:rsidRPr="00000000">
              <w:rPr>
                <w:b w:val="1"/>
                <w:bCs w:val="1"/>
                <w:rtl w:val="0"/>
              </w:rPr>
              <w:t xml:space="preserve">Units</w:t>
            </w:r>
          </w:p>
        </w:tc>
        <w:tc>
          <w:tcPr>
            <w:tcMar>
              <w:top w:w="100.0" w:type="dxa"/>
              <w:left w:w="100.0" w:type="dxa"/>
              <w:bottom w:w="100.0" w:type="dxa"/>
              <w:right w:w="100.0" w:type="dxa"/>
            </w:tcMar>
          </w:tcPr>
          <w:p w:rsidR="00000000" w:rsidDel="00000000" w:rsidP="00000000" w:rsidRDefault="00000000" w:rsidRPr="00000000" w14:paraId="00000011">
            <w:pPr>
              <w:widowControl w:val="0"/>
              <w:spacing w:line="240" w:lineRule="auto"/>
              <w:rPr/>
            </w:pPr>
            <w:r w:rsidDel="00000000" w:rsidR="00000000" w:rsidRPr="00000000">
              <w:rPr>
                <w:rtl w:val="0"/>
              </w:rPr>
              <w:t xml:space="preserve">ppbV, ppbV</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b w:val="1"/>
                <w:bCs w:val="1"/>
              </w:rPr>
            </w:pPr>
            <w:r w:rsidDel="00000000" w:rsidR="00000000" w:rsidRPr="00000000">
              <w:rPr>
                <w:b w:val="1"/>
                <w:bCs w:val="1"/>
                <w:rtl w:val="0"/>
              </w:rPr>
              <w:t xml:space="preserve">Detection Limits (in units)</w:t>
            </w:r>
          </w:p>
        </w:tc>
        <w:tc>
          <w:tcPr>
            <w:tcMar>
              <w:top w:w="100.0" w:type="dxa"/>
              <w:left w:w="100.0" w:type="dxa"/>
              <w:bottom w:w="100.0" w:type="dxa"/>
              <w:right w:w="100.0" w:type="dxa"/>
            </w:tcMar>
          </w:tcPr>
          <w:p w:rsidR="00000000" w:rsidDel="00000000" w:rsidP="00000000" w:rsidRDefault="00000000" w:rsidRPr="00000000" w14:paraId="00000013">
            <w:pPr>
              <w:widowControl w:val="0"/>
              <w:spacing w:line="240" w:lineRule="auto"/>
              <w:rPr/>
            </w:pPr>
            <w:r w:rsidDel="00000000" w:rsidR="00000000" w:rsidRPr="00000000">
              <w:rPr>
                <w:rtl w:val="0"/>
              </w:rPr>
              <w:t xml:space="preserve">5, 15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Sampling Resolution</w:t>
            </w:r>
          </w:p>
        </w:tc>
        <w:tc>
          <w:tcP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pPr>
            <w:r w:rsidDel="00000000" w:rsidR="00000000" w:rsidRPr="00000000">
              <w:rPr>
                <w:rtl w:val="0"/>
              </w:rPr>
              <w:t xml:space="preserve">4-10 seconds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6">
            <w:pPr>
              <w:widowControl w:val="0"/>
              <w:spacing w:line="240" w:lineRule="auto"/>
              <w:rPr>
                <w:b w:val="1"/>
                <w:bCs w:val="1"/>
              </w:rPr>
            </w:pPr>
            <w:r w:rsidDel="00000000" w:rsidR="00000000" w:rsidRPr="00000000">
              <w:rPr>
                <w:b w:val="1"/>
                <w:bCs w:val="1"/>
                <w:rtl w:val="0"/>
              </w:rPr>
              <w:t xml:space="preserve">Notes</w:t>
            </w:r>
          </w:p>
        </w:tc>
        <w:tc>
          <w:tcPr>
            <w:tcMar>
              <w:top w:w="100.0" w:type="dxa"/>
              <w:left w:w="100.0" w:type="dxa"/>
              <w:bottom w:w="100.0" w:type="dxa"/>
              <w:right w:w="100.0" w:type="dxa"/>
            </w:tcMar>
          </w:tcPr>
          <w:p w:rsidR="00000000" w:rsidDel="00000000" w:rsidP="00000000" w:rsidRDefault="00000000" w:rsidRPr="00000000" w14:paraId="00000017">
            <w:pPr>
              <w:widowControl w:val="0"/>
              <w:spacing w:line="240" w:lineRule="auto"/>
              <w:rPr/>
            </w:pPr>
            <w:r w:rsidDel="00000000" w:rsidR="00000000" w:rsidRPr="00000000">
              <w:rPr>
                <w:rtl w:val="0"/>
              </w:rPr>
              <w:t xml:space="preserve">Measured quantity is the local concentration in extracted air above reference/start value.</w:t>
            </w:r>
          </w:p>
        </w:tc>
      </w:tr>
    </w:tbl>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bCs w:val="1"/>
        </w:rPr>
      </w:pPr>
      <w:r w:rsidDel="00000000" w:rsidR="00000000" w:rsidRPr="00000000">
        <w:rPr>
          <w:rtl w:val="0"/>
        </w:rPr>
      </w:r>
    </w:p>
    <w:p w:rsidR="00000000" w:rsidDel="00000000" w:rsidP="00000000" w:rsidRDefault="00000000" w:rsidRPr="00000000" w14:paraId="0000001A">
      <w:pPr>
        <w:rPr>
          <w:b w:val="1"/>
          <w:bCs w:val="1"/>
        </w:rPr>
      </w:pPr>
      <w:r w:rsidDel="00000000" w:rsidR="00000000" w:rsidRPr="00000000">
        <w:rPr>
          <w:b w:val="1"/>
          <w:bCs w:val="1"/>
          <w:rtl w:val="0"/>
        </w:rPr>
        <w:t xml:space="preserve">Benzene</w:t>
      </w:r>
    </w:p>
    <w:p w:rsidR="00000000" w:rsidDel="00000000" w:rsidP="00000000" w:rsidRDefault="00000000" w:rsidRPr="00000000" w14:paraId="0000001B">
      <w:pPr>
        <w:rPr>
          <w:b w:val="1"/>
          <w:bCs w:val="1"/>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85"/>
        <w:gridCol w:w="5775"/>
        <w:tblGridChange w:id="0">
          <w:tblGrid>
            <w:gridCol w:w="3585"/>
            <w:gridCol w:w="577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1C">
            <w:pPr>
              <w:widowControl w:val="0"/>
              <w:spacing w:line="240" w:lineRule="auto"/>
              <w:rPr>
                <w:b w:val="1"/>
                <w:bCs w:val="1"/>
              </w:rPr>
            </w:pPr>
            <w:r w:rsidDel="00000000" w:rsidR="00000000" w:rsidRPr="00000000">
              <w:rPr>
                <w:b w:val="1"/>
                <w:bCs w:val="1"/>
                <w:rtl w:val="0"/>
              </w:rPr>
              <w:t xml:space="preserve">Instrument Manufacturer</w:t>
            </w:r>
          </w:p>
        </w:tc>
        <w:tc>
          <w:tcPr>
            <w:tcMar>
              <w:top w:w="100.0" w:type="dxa"/>
              <w:left w:w="100.0" w:type="dxa"/>
              <w:bottom w:w="100.0" w:type="dxa"/>
              <w:right w:w="100.0" w:type="dxa"/>
            </w:tcMar>
          </w:tcPr>
          <w:p w:rsidR="00000000" w:rsidDel="00000000" w:rsidP="00000000" w:rsidRDefault="00000000" w:rsidRPr="00000000" w14:paraId="0000001D">
            <w:pPr>
              <w:widowControl w:val="0"/>
              <w:spacing w:line="240" w:lineRule="auto"/>
              <w:rPr/>
            </w:pPr>
            <w:r w:rsidDel="00000000" w:rsidR="00000000" w:rsidRPr="00000000">
              <w:rPr>
                <w:rtl w:val="0"/>
              </w:rPr>
              <w:t xml:space="preserve">FluxSense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E">
            <w:pPr>
              <w:widowControl w:val="0"/>
              <w:spacing w:line="240" w:lineRule="auto"/>
              <w:rPr>
                <w:b w:val="1"/>
                <w:bCs w:val="1"/>
              </w:rPr>
            </w:pPr>
            <w:r w:rsidDel="00000000" w:rsidR="00000000" w:rsidRPr="00000000">
              <w:rPr>
                <w:b w:val="1"/>
                <w:bCs w:val="1"/>
                <w:rtl w:val="0"/>
              </w:rPr>
              <w:t xml:space="preserve">Instrument Model</w:t>
            </w:r>
          </w:p>
        </w:tc>
        <w:tc>
          <w:tcPr>
            <w:tcMar>
              <w:top w:w="100.0" w:type="dxa"/>
              <w:left w:w="100.0" w:type="dxa"/>
              <w:bottom w:w="100.0" w:type="dxa"/>
              <w:right w:w="100.0" w:type="dxa"/>
            </w:tcMar>
          </w:tcPr>
          <w:p w:rsidR="00000000" w:rsidDel="00000000" w:rsidP="00000000" w:rsidRDefault="00000000" w:rsidRPr="00000000" w14:paraId="0000001F">
            <w:pPr>
              <w:widowControl w:val="0"/>
              <w:spacing w:line="240" w:lineRule="auto"/>
              <w:rPr/>
            </w:pPr>
            <w:r w:rsidDel="00000000" w:rsidR="00000000" w:rsidRPr="00000000">
              <w:rPr>
                <w:rtl w:val="0"/>
              </w:rPr>
              <w:t xml:space="preserve">MeDOAS V4</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0">
            <w:pPr>
              <w:widowControl w:val="0"/>
              <w:spacing w:line="240" w:lineRule="auto"/>
              <w:rPr>
                <w:b w:val="1"/>
                <w:bCs w:val="1"/>
              </w:rPr>
            </w:pPr>
            <w:r w:rsidDel="00000000" w:rsidR="00000000" w:rsidRPr="00000000">
              <w:rPr>
                <w:b w:val="1"/>
                <w:bCs w:val="1"/>
                <w:rtl w:val="0"/>
              </w:rPr>
              <w:t xml:space="preserve">Compounds Detected</w:t>
            </w:r>
          </w:p>
        </w:tc>
        <w:tc>
          <w:tcPr>
            <w:tcMar>
              <w:top w:w="100.0" w:type="dxa"/>
              <w:left w:w="100.0" w:type="dxa"/>
              <w:bottom w:w="100.0" w:type="dxa"/>
              <w:right w:w="100.0" w:type="dxa"/>
            </w:tcMar>
          </w:tcPr>
          <w:p w:rsidR="00000000" w:rsidDel="00000000" w:rsidP="00000000" w:rsidRDefault="00000000" w:rsidRPr="00000000" w14:paraId="00000021">
            <w:pPr>
              <w:widowControl w:val="0"/>
              <w:spacing w:line="240" w:lineRule="auto"/>
              <w:rPr/>
            </w:pPr>
            <w:r w:rsidDel="00000000" w:rsidR="00000000" w:rsidRPr="00000000">
              <w:rPr>
                <w:rtl w:val="0"/>
              </w:rPr>
              <w:t xml:space="preserve">Benzene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2">
            <w:pPr>
              <w:widowControl w:val="0"/>
              <w:spacing w:line="240" w:lineRule="auto"/>
              <w:rPr>
                <w:b w:val="1"/>
                <w:bCs w:val="1"/>
              </w:rPr>
            </w:pPr>
            <w:r w:rsidDel="00000000" w:rsidR="00000000" w:rsidRPr="00000000">
              <w:rPr>
                <w:b w:val="1"/>
                <w:bCs w:val="1"/>
                <w:rtl w:val="0"/>
              </w:rPr>
              <w:t xml:space="preserve">Units</w:t>
            </w:r>
          </w:p>
        </w:tc>
        <w:tc>
          <w:tcPr>
            <w:tcMar>
              <w:top w:w="100.0" w:type="dxa"/>
              <w:left w:w="100.0" w:type="dxa"/>
              <w:bottom w:w="100.0" w:type="dxa"/>
              <w:right w:w="100.0" w:type="dxa"/>
            </w:tcMar>
          </w:tcPr>
          <w:p w:rsidR="00000000" w:rsidDel="00000000" w:rsidP="00000000" w:rsidRDefault="00000000" w:rsidRPr="00000000" w14:paraId="00000023">
            <w:pPr>
              <w:widowControl w:val="0"/>
              <w:spacing w:line="240" w:lineRule="auto"/>
              <w:rPr/>
            </w:pPr>
            <w:r w:rsidDel="00000000" w:rsidR="00000000" w:rsidRPr="00000000">
              <w:rPr>
                <w:rtl w:val="0"/>
              </w:rPr>
              <w:t xml:space="preserve">ppbV</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4">
            <w:pPr>
              <w:widowControl w:val="0"/>
              <w:spacing w:line="240" w:lineRule="auto"/>
              <w:rPr>
                <w:b w:val="1"/>
                <w:bCs w:val="1"/>
              </w:rPr>
            </w:pPr>
            <w:r w:rsidDel="00000000" w:rsidR="00000000" w:rsidRPr="00000000">
              <w:rPr>
                <w:b w:val="1"/>
                <w:bCs w:val="1"/>
                <w:rtl w:val="0"/>
              </w:rPr>
              <w:t xml:space="preserve">Detection Limits (in units)</w:t>
            </w:r>
          </w:p>
        </w:tc>
        <w:tc>
          <w:tcPr>
            <w:tcMar>
              <w:top w:w="100.0" w:type="dxa"/>
              <w:left w:w="100.0" w:type="dxa"/>
              <w:bottom w:w="100.0" w:type="dxa"/>
              <w:right w:w="100.0" w:type="dxa"/>
            </w:tcMar>
          </w:tcPr>
          <w:p w:rsidR="00000000" w:rsidDel="00000000" w:rsidP="00000000" w:rsidRDefault="00000000" w:rsidRPr="00000000" w14:paraId="00000025">
            <w:pPr>
              <w:widowControl w:val="0"/>
              <w:spacing w:line="240" w:lineRule="auto"/>
              <w:rPr/>
            </w:pPr>
            <w:r w:rsidDel="00000000" w:rsidR="00000000" w:rsidRPr="00000000">
              <w:rPr>
                <w:rtl w:val="0"/>
              </w:rPr>
              <w:t xml:space="preserve">1</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6">
            <w:pPr>
              <w:widowControl w:val="0"/>
              <w:spacing w:line="240" w:lineRule="auto"/>
              <w:rPr>
                <w:b w:val="1"/>
                <w:bCs w:val="1"/>
              </w:rPr>
            </w:pPr>
            <w:r w:rsidDel="00000000" w:rsidR="00000000" w:rsidRPr="00000000">
              <w:rPr>
                <w:b w:val="1"/>
                <w:bCs w:val="1"/>
                <w:rtl w:val="0"/>
              </w:rPr>
              <w:t xml:space="preserve">Sampling Resolution</w:t>
            </w:r>
          </w:p>
        </w:tc>
        <w:tc>
          <w:tcPr>
            <w:tcMar>
              <w:top w:w="100.0" w:type="dxa"/>
              <w:left w:w="100.0" w:type="dxa"/>
              <w:bottom w:w="100.0" w:type="dxa"/>
              <w:right w:w="100.0" w:type="dxa"/>
            </w:tcMar>
          </w:tcPr>
          <w:p w:rsidR="00000000" w:rsidDel="00000000" w:rsidP="00000000" w:rsidRDefault="00000000" w:rsidRPr="00000000" w14:paraId="00000027">
            <w:pPr>
              <w:widowControl w:val="0"/>
              <w:spacing w:line="240" w:lineRule="auto"/>
              <w:rPr/>
            </w:pPr>
            <w:r w:rsidDel="00000000" w:rsidR="00000000" w:rsidRPr="00000000">
              <w:rPr>
                <w:rtl w:val="0"/>
              </w:rPr>
              <w:t xml:space="preserve">4-10 seconds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8">
            <w:pPr>
              <w:widowControl w:val="0"/>
              <w:spacing w:line="240" w:lineRule="auto"/>
              <w:rPr>
                <w:b w:val="1"/>
                <w:bCs w:val="1"/>
              </w:rPr>
            </w:pPr>
            <w:r w:rsidDel="00000000" w:rsidR="00000000" w:rsidRPr="00000000">
              <w:rPr>
                <w:b w:val="1"/>
                <w:bCs w:val="1"/>
                <w:rtl w:val="0"/>
              </w:rPr>
              <w:t xml:space="preserve">Notes</w:t>
            </w:r>
          </w:p>
        </w:tc>
        <w:tc>
          <w:tcPr>
            <w:tcMar>
              <w:top w:w="100.0" w:type="dxa"/>
              <w:left w:w="100.0" w:type="dxa"/>
              <w:bottom w:w="100.0" w:type="dxa"/>
              <w:right w:w="100.0" w:type="dxa"/>
            </w:tcMar>
          </w:tcPr>
          <w:p w:rsidR="00000000" w:rsidDel="00000000" w:rsidP="00000000" w:rsidRDefault="00000000" w:rsidRPr="00000000" w14:paraId="00000029">
            <w:pPr>
              <w:widowControl w:val="0"/>
              <w:spacing w:line="240" w:lineRule="auto"/>
              <w:rPr/>
            </w:pPr>
            <w:r w:rsidDel="00000000" w:rsidR="00000000" w:rsidRPr="00000000">
              <w:rPr>
                <w:rtl w:val="0"/>
              </w:rPr>
              <w:t xml:space="preserve">Measured quantity is the local concentration in extracted air above reference/start value.</w:t>
            </w:r>
          </w:p>
        </w:tc>
      </w:tr>
    </w:tbl>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sC9xLtD0RTGq+Q4HgnRXDtDjcw==">CgMxLjA4AGotChRzdWdnZXN0LnNuMHR3MGE3eDk5eBIVUGFtZWxhIFJpY2tseSAtIENEUEhFai0KFHN1Z2dlc3QuaW05ajR1YXc2cDUwEhVQYW1lbGEgUmlja2x5IC0gQ0RQSEVqLQoUc3VnZ2VzdC52aTJ6N2d1dG9xdTISFVBhbWVsYSBSaWNrbHkgLSBDRFBIRWotChRzdWdnZXN0Lm5meWVmNHgwd2RqYRIVUGFtZWxhIFJpY2tseSAtIENEUEhFciExOVk5SklrMk1aX29fQi1aT0p5QlFwUW5EWFRfS1NaO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